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A10" w:rsidRDefault="007E2A10" w:rsidP="005820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711B">
        <w:rPr>
          <w:rFonts w:ascii="Times New Roman" w:hAnsi="Times New Roman"/>
          <w:b/>
          <w:sz w:val="24"/>
          <w:szCs w:val="24"/>
          <w:lang w:val="kk-KZ"/>
        </w:rPr>
        <w:t>КАЗАХСКИЙ НАЦИОНАЛЬНЫЙ УНИВЕРСИТЕТ ИМ. АЛЬ-ФАРАБИ</w:t>
      </w: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711B">
        <w:rPr>
          <w:rFonts w:ascii="Times New Roman" w:hAnsi="Times New Roman"/>
          <w:b/>
          <w:sz w:val="24"/>
          <w:szCs w:val="24"/>
          <w:lang w:val="kk-KZ"/>
        </w:rPr>
        <w:t>Высшая школа Экономики и бизнеса</w:t>
      </w: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711B">
        <w:rPr>
          <w:rFonts w:ascii="Times New Roman" w:hAnsi="Times New Roman"/>
          <w:b/>
          <w:sz w:val="24"/>
          <w:szCs w:val="24"/>
          <w:lang w:val="kk-KZ"/>
        </w:rPr>
        <w:t>Кафедра Финансы и учет</w:t>
      </w: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2"/>
          <w:sz w:val="24"/>
          <w:szCs w:val="24"/>
        </w:rPr>
      </w:pPr>
      <w:r w:rsidRPr="00CA711B">
        <w:rPr>
          <w:rFonts w:ascii="Times New Roman" w:hAnsi="Times New Roman"/>
          <w:b/>
          <w:bCs/>
          <w:kern w:val="32"/>
          <w:sz w:val="24"/>
          <w:szCs w:val="24"/>
        </w:rPr>
        <w:t xml:space="preserve">МЕТОДИЧЕСКИЕ УКАЗАНИЯ </w:t>
      </w:r>
      <w:r>
        <w:rPr>
          <w:rFonts w:ascii="Times New Roman" w:hAnsi="Times New Roman"/>
          <w:b/>
          <w:bCs/>
          <w:kern w:val="32"/>
          <w:sz w:val="24"/>
          <w:szCs w:val="24"/>
        </w:rPr>
        <w:t>К ПРАКТИЧЕСКИМ ЗАНЯТИЯМ</w:t>
      </w:r>
    </w:p>
    <w:p w:rsidR="007E2A10" w:rsidRPr="00CA711B" w:rsidRDefault="007E2A10" w:rsidP="007E2A10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CA711B">
        <w:rPr>
          <w:rFonts w:ascii="Times New Roman" w:hAnsi="Times New Roman"/>
          <w:b/>
          <w:sz w:val="24"/>
          <w:szCs w:val="24"/>
        </w:rPr>
        <w:t xml:space="preserve">по дисциплине </w:t>
      </w:r>
      <w:r w:rsidR="003D537D" w:rsidRPr="003D537D">
        <w:rPr>
          <w:rFonts w:ascii="Times New Roman" w:hAnsi="Times New Roman"/>
          <w:b/>
          <w:sz w:val="24"/>
          <w:szCs w:val="24"/>
        </w:rPr>
        <w:t>«Валютные операции и современная валютная система»</w:t>
      </w:r>
    </w:p>
    <w:p w:rsidR="005F12D9" w:rsidRDefault="005F12D9" w:rsidP="007E2A10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3D537D" w:rsidRDefault="003D537D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3D537D" w:rsidRDefault="003D537D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3D537D" w:rsidRDefault="003D537D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3D537D" w:rsidRDefault="003D537D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3D537D" w:rsidRPr="00CA711B" w:rsidRDefault="003D537D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711B">
        <w:rPr>
          <w:rFonts w:ascii="Times New Roman" w:hAnsi="Times New Roman"/>
          <w:b/>
          <w:sz w:val="24"/>
          <w:szCs w:val="24"/>
          <w:lang w:val="kk-KZ"/>
        </w:rPr>
        <w:t>Алматы 202</w:t>
      </w:r>
      <w:r w:rsidR="00B42A6D">
        <w:rPr>
          <w:rFonts w:ascii="Times New Roman" w:hAnsi="Times New Roman"/>
          <w:b/>
          <w:sz w:val="24"/>
          <w:szCs w:val="24"/>
          <w:lang w:val="kk-KZ"/>
        </w:rPr>
        <w:t>4</w:t>
      </w:r>
      <w:r w:rsidRPr="00CA711B">
        <w:rPr>
          <w:rFonts w:ascii="Times New Roman" w:hAnsi="Times New Roman"/>
          <w:b/>
          <w:sz w:val="24"/>
          <w:szCs w:val="24"/>
          <w:lang w:val="kk-KZ"/>
        </w:rPr>
        <w:t xml:space="preserve"> г.</w:t>
      </w:r>
    </w:p>
    <w:p w:rsidR="002B1B72" w:rsidRPr="003B0F16" w:rsidRDefault="002B1B72" w:rsidP="002B1B72">
      <w:pPr>
        <w:widowControl w:val="0"/>
        <w:shd w:val="clear" w:color="auto" w:fill="FFFFFF" w:themeFill="background1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2B1B72" w:rsidRPr="003B0F16" w:rsidRDefault="002B1B72" w:rsidP="002B1B72">
      <w:pPr>
        <w:widowControl w:val="0"/>
        <w:shd w:val="clear" w:color="auto" w:fill="FFFFFF" w:themeFill="background1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F16">
        <w:rPr>
          <w:rFonts w:ascii="Times New Roman" w:hAnsi="Times New Roman"/>
          <w:b/>
          <w:bCs/>
          <w:sz w:val="24"/>
          <w:szCs w:val="24"/>
        </w:rPr>
        <w:lastRenderedPageBreak/>
        <w:t>Практические занятия и семинары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b/>
          <w:bCs/>
          <w:sz w:val="24"/>
          <w:szCs w:val="24"/>
        </w:rPr>
        <w:t>Требования:</w:t>
      </w:r>
      <w:r w:rsidRPr="003B0F16">
        <w:rPr>
          <w:rFonts w:ascii="Times New Roman" w:hAnsi="Times New Roman"/>
          <w:sz w:val="24"/>
          <w:szCs w:val="24"/>
        </w:rPr>
        <w:t xml:space="preserve"> 100 % присутствие слушателей, отключение мобильных телефонов (перевести в режим вибрации), концентрация внимания, базовая и лекционная подготовка к занятию.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b/>
          <w:bCs/>
          <w:sz w:val="24"/>
          <w:szCs w:val="24"/>
        </w:rPr>
        <w:t>Методика:</w:t>
      </w:r>
      <w:r w:rsidRPr="003B0F16">
        <w:rPr>
          <w:rFonts w:ascii="Times New Roman" w:hAnsi="Times New Roman"/>
          <w:sz w:val="24"/>
          <w:szCs w:val="24"/>
        </w:rPr>
        <w:t xml:space="preserve"> коллективное обсуждение, выслушиваются любые мнения, живая дискуссия, доказательное авторство (или точка зрения). Помощь коллег из группы при неустойчивом изложении ответа.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b/>
          <w:sz w:val="24"/>
          <w:szCs w:val="24"/>
        </w:rPr>
        <w:t>Общие цели практического занятия</w:t>
      </w:r>
      <w:r w:rsidRPr="003B0F16">
        <w:rPr>
          <w:rFonts w:ascii="Times New Roman" w:hAnsi="Times New Roman"/>
          <w:sz w:val="24"/>
          <w:szCs w:val="24"/>
        </w:rPr>
        <w:t xml:space="preserve"> сводятся к закреплению теоретических знаний, более глубокому освоению уже имеющихся у студентов умений и навыков и приобретению новых умений и навыков, необходимых ему для осуществления своей профессиональной деятельности.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Основными задачами практических занятий являются: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• углубление теоретической и практической подготовки студентов;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• приближение учебного процесса к реальным условиям работы того или иного специалиста;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• отражение в учебном процессе требований научно-технического прогресса, современных достижений науки и техники;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всемерное развитие инициативы и самостоятельности студентов во время выполнения ими практических занятий.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К практическим занятиям относятся различные по форме организации занятия: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• решение проблемных ситуационных задач, деловые игры;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• подготовка отчетов, планов работ, актов проверок финансовой отчетности компании;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контрольные письменные задания (тестовый контроль, анкетирование и другие виды оценки).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В соответствии с целями и дидактическими задачами различают: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а) демонстрационные занятия;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б) самостоятельные практические занятия.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Для успешного проведения практических занятий переработаны и внедрены в учебный процесс: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- методические указания для студентов по изучению учебных дисциплин;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- мультимедийные презентации лекций;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- пополнен банк тестовых заданий по учебным дисциплинам;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Активные методы обучения побуждают студентов к самостоятельному добыванию знаний, активизируют их познавательную деятельность, формируют практические навыки. Это проблемно-поисковые и воспроизводящие методы. Активное обучение предполагает использование системы методов, которые направлены не на изложение преподавателем готовых знаний, их запоминание и воспроизведение студентом, а на самостоятельное овладение знаниями и умениями в процессе активной познавательной и практической деятельности.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Познавательная активность - это интеллектуально-эмоциональный отклик на процесс познания, стремление к учению. Познавательная самостоятельность – это стремление и умение самостоятельно мыслить, способность ориентироваться в новой ситуации, находить свой подход к решению задач, независимость собственного суждения.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Активные методы обучения используются на разных этапах учебного процесса. Рассмотрим некоторые из них.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Исследовательская работа заключается в том, что студенты самостоятельно осуществляют учебное исследование, а затем, на занятии докладывают об его результатах, обосновывают их теоретическими положениями. Исследовательский метод обучения положен в основу работы предметных кружков и при выполнении дипломных работ.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Для того чтобы развить экономическое, техническое мышление, организаторские способности, необходимо систематически ставить студентов в такие условия, которые </w:t>
      </w:r>
      <w:r w:rsidRPr="003B0F16">
        <w:rPr>
          <w:rFonts w:ascii="Times New Roman" w:hAnsi="Times New Roman"/>
          <w:sz w:val="24"/>
          <w:szCs w:val="24"/>
        </w:rPr>
        <w:lastRenderedPageBreak/>
        <w:t>позволили бы им упражняться в том или ином виде профессиональной деятельности. Поэтому на практических занятиях использую такие активные методы обучения, как анализ производственных ситуаций, решение ситуационных профессиональных задач, деловые игры и их элементы и т. д.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Анализ производственных ситуаций. Задачи аналитического характера занимают большое место в работе специалиста. Умение анализировать, оценивать ситуацию, на основе этого анализа принимать решение. Сущность метода заключается в том, что студентам предъявляется какая-то производственная ситуация, в которой охарактеризованы условия и действия ее участников. Студентам предлагается оценить, правильно ли действовали участники события, дать анализ и аргументированное заключение принятым решениям.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Решение ситуационных профессиональных задач. Основным дидактическим материалом этого метода служит ситуационная задача, которая включает в себя условия (описание ситуации и исходные количественные данные) и вопрос (задание), поставленный перед студентами. Задача должна содержать все необходимые данные для ее решения, а в случае их отсутствия – условия, из которых можно извлечь эти данные. В основе учебных задач лежат типовые профессиональные задачи, характерные для финансиста предприятия, реальные ситуации из квартальных и годовых отчетов.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Ситуационные профессиональные задачи бывают сквозными, т. е. проходящими через весь учебный курс, и комплексными, - охватывающими несколько учебных дисциплин, но выполняемыми одновременно.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Деловая игра – представляет собой управленческую имитационную игру, в ходе которой участники имитируют деятельность того или иного служебного лица, на основе анализа ситуации принимают решения. Преимущество деловых игр в том, что взяв на себя ту или иную роль, участники игры вступают во взаимоотношения друг с другом, причем интересы их могут не совпадать. В результате создается конфликтная ситуация, сопровождающаяся естественной эмоциональной напряженностью, что повышает интерес к ходу игры. Участники проявляют моральные, деловые и психологические качества при обсуждении вариантов решения, могут показать не только профессиональные качества, но и общую эрудированность, такие черты характера, как решительность, оперативность, </w:t>
      </w:r>
      <w:proofErr w:type="spellStart"/>
      <w:r w:rsidRPr="003B0F16">
        <w:rPr>
          <w:rFonts w:ascii="Times New Roman" w:hAnsi="Times New Roman"/>
          <w:sz w:val="24"/>
          <w:szCs w:val="24"/>
        </w:rPr>
        <w:t>коммуникативность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, инициативность, активность, от которой нередко зависит ход игры. Во время деловой игры у студентов развивается творческое мышление (способность поставить проблему, выдвинуть варианты ее решения, выбрать оптимальный вариант), профессиональные умения специалиста.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Таким образом, использование активных методов обучения при проведении практических занятий помогает студентам более полно овладеть будущей профессией, позволяет им окунуться в производственную среду, адаптироваться к непростым условиям современной жизни.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С целью успешного освоения дисциплины, как одна из форм практического занятия, также использую проведение целенаправленных экскурсий на предприятия, с учётом будущей специальности студентов.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При проведении экскурсий, как правило, ставятся следующие цели: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познание инновационных технологических процессов;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знакомство с разнообразными новейшими технологиями в управлении финансами компаний;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наблюдение за работой различных устройств в управлении финансами компаний;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наблюдение за работой квалифицированных специалистов;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знакомство с возможным местом будущей практики, а затем и работы;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воспитание понимания производственной дисциплины и этичного поведения в условиях современного производства;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непосредственное общение со специалистами и персоналом предприятия по выбранной профессии;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• получение информации для выбора тематики и более успешного выполнения </w:t>
      </w:r>
      <w:r w:rsidRPr="003B0F16">
        <w:rPr>
          <w:rFonts w:ascii="Times New Roman" w:hAnsi="Times New Roman"/>
          <w:sz w:val="24"/>
          <w:szCs w:val="24"/>
        </w:rPr>
        <w:lastRenderedPageBreak/>
        <w:t>дипломного проектов.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После проведения экскурсии студенты охотно обсуждают увиденное, с большим интересом создают презентации, готовят доклады, пишут рефераты, отчёты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Таким образом, современное занятие по корпоративным финансам погружает студента в финансовые проблемы компании ведет в область самостоятельных поисков и творческого освоения мудрой науки и тонкого искусства управления финансами компаний.</w:t>
      </w:r>
    </w:p>
    <w:p w:rsidR="002B1B72" w:rsidRPr="003B0F16" w:rsidRDefault="002B1B72" w:rsidP="00B249D4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249D4" w:rsidRDefault="00B249D4" w:rsidP="00B249D4">
      <w:pPr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3B0F16">
        <w:rPr>
          <w:rFonts w:ascii="Times New Roman" w:hAnsi="Times New Roman"/>
          <w:b/>
          <w:color w:val="000000"/>
          <w:sz w:val="24"/>
          <w:szCs w:val="24"/>
        </w:rPr>
        <w:t>ПЛАНЫ, ЗАДАНИЯ ДЛЯ ПРОВЕДЕНИЯ ПРАКТИЧЕСКИХ ЗАНЯТИЙ</w:t>
      </w:r>
      <w:r w:rsidRPr="003B0F16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</w:p>
    <w:p w:rsidR="003D537D" w:rsidRPr="003D537D" w:rsidRDefault="003D537D" w:rsidP="003D537D">
      <w:pPr>
        <w:tabs>
          <w:tab w:val="left" w:pos="1276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en-US"/>
        </w:rPr>
      </w:pPr>
      <w:r w:rsidRPr="003D537D">
        <w:rPr>
          <w:rFonts w:ascii="Times New Roman" w:hAnsi="Times New Roman"/>
          <w:b/>
          <w:sz w:val="24"/>
          <w:szCs w:val="24"/>
          <w:lang w:eastAsia="en-US"/>
        </w:rPr>
        <w:t xml:space="preserve">СЗ 1. </w:t>
      </w:r>
      <w:r w:rsidRPr="003D537D">
        <w:rPr>
          <w:rFonts w:ascii="Times New Roman" w:hAnsi="Times New Roman"/>
          <w:sz w:val="24"/>
          <w:szCs w:val="24"/>
          <w:lang w:eastAsia="en-US"/>
        </w:rPr>
        <w:t>Особенности функционирования валютного рынка</w:t>
      </w:r>
    </w:p>
    <w:p w:rsidR="003D537D" w:rsidRPr="003D537D" w:rsidRDefault="003D537D" w:rsidP="003D537D">
      <w:pPr>
        <w:tabs>
          <w:tab w:val="left" w:pos="1276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en-US"/>
        </w:rPr>
      </w:pPr>
      <w:r w:rsidRPr="003D537D">
        <w:rPr>
          <w:rFonts w:ascii="Times New Roman" w:hAnsi="Times New Roman"/>
          <w:b/>
          <w:sz w:val="24"/>
          <w:szCs w:val="24"/>
          <w:lang w:eastAsia="en-US"/>
        </w:rPr>
        <w:t xml:space="preserve">СЗ 2. </w:t>
      </w:r>
      <w:r w:rsidRPr="003D537D">
        <w:rPr>
          <w:rFonts w:ascii="Times New Roman" w:hAnsi="Times New Roman"/>
          <w:sz w:val="24"/>
          <w:szCs w:val="24"/>
          <w:lang w:eastAsia="en-US"/>
        </w:rPr>
        <w:t>Особенности проведения валютных операций</w:t>
      </w:r>
    </w:p>
    <w:p w:rsidR="003D537D" w:rsidRPr="003D537D" w:rsidRDefault="003D537D" w:rsidP="003D537D">
      <w:pPr>
        <w:tabs>
          <w:tab w:val="left" w:pos="1276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en-US"/>
        </w:rPr>
      </w:pPr>
      <w:r w:rsidRPr="003D537D">
        <w:rPr>
          <w:rFonts w:ascii="Times New Roman" w:hAnsi="Times New Roman"/>
          <w:b/>
          <w:sz w:val="24"/>
          <w:szCs w:val="24"/>
          <w:lang w:eastAsia="en-US"/>
        </w:rPr>
        <w:t>СЗ 3.</w:t>
      </w:r>
      <w:r w:rsidRPr="003D537D">
        <w:rPr>
          <w:rFonts w:ascii="Times New Roman" w:hAnsi="Times New Roman"/>
          <w:sz w:val="24"/>
          <w:szCs w:val="24"/>
          <w:lang w:eastAsia="en-US"/>
        </w:rPr>
        <w:t xml:space="preserve"> Рассмотреть становление и текущее состояние разных мировых валютных систем</w:t>
      </w:r>
    </w:p>
    <w:p w:rsidR="003D537D" w:rsidRPr="003D537D" w:rsidRDefault="003D537D" w:rsidP="003D537D">
      <w:pPr>
        <w:tabs>
          <w:tab w:val="left" w:pos="1276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en-US"/>
        </w:rPr>
      </w:pPr>
      <w:r w:rsidRPr="003D537D">
        <w:rPr>
          <w:rFonts w:ascii="Times New Roman" w:hAnsi="Times New Roman"/>
          <w:b/>
          <w:sz w:val="24"/>
          <w:szCs w:val="24"/>
          <w:lang w:eastAsia="en-US"/>
        </w:rPr>
        <w:t>СЗ 4.</w:t>
      </w:r>
      <w:r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Pr="003D537D">
        <w:rPr>
          <w:rFonts w:ascii="Times New Roman" w:hAnsi="Times New Roman"/>
          <w:sz w:val="24"/>
          <w:szCs w:val="24"/>
          <w:lang w:eastAsia="en-US"/>
        </w:rPr>
        <w:t>Текущее состояние мировой валютной системы</w:t>
      </w:r>
    </w:p>
    <w:p w:rsidR="003D537D" w:rsidRPr="003D537D" w:rsidRDefault="003D537D" w:rsidP="003D537D">
      <w:pPr>
        <w:tabs>
          <w:tab w:val="left" w:pos="1276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en-US"/>
        </w:rPr>
      </w:pPr>
      <w:r w:rsidRPr="003D537D">
        <w:rPr>
          <w:rFonts w:ascii="Times New Roman" w:hAnsi="Times New Roman"/>
          <w:b/>
          <w:sz w:val="24"/>
          <w:szCs w:val="24"/>
          <w:lang w:eastAsia="en-US"/>
        </w:rPr>
        <w:t>СЗ 5.</w:t>
      </w:r>
      <w:r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Pr="003D537D">
        <w:rPr>
          <w:rFonts w:ascii="Times New Roman" w:hAnsi="Times New Roman"/>
          <w:sz w:val="24"/>
          <w:szCs w:val="24"/>
          <w:lang w:eastAsia="en-US"/>
        </w:rPr>
        <w:t>Раскрыть особенности типов валютных систем</w:t>
      </w:r>
    </w:p>
    <w:p w:rsidR="003D537D" w:rsidRPr="003D537D" w:rsidRDefault="003D537D" w:rsidP="003D537D">
      <w:pPr>
        <w:tabs>
          <w:tab w:val="left" w:pos="1276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en-US"/>
        </w:rPr>
      </w:pPr>
      <w:r w:rsidRPr="003D537D">
        <w:rPr>
          <w:rFonts w:ascii="Times New Roman" w:hAnsi="Times New Roman"/>
          <w:b/>
          <w:sz w:val="24"/>
          <w:szCs w:val="24"/>
          <w:lang w:eastAsia="en-US"/>
        </w:rPr>
        <w:t xml:space="preserve">СЗ 6. </w:t>
      </w:r>
      <w:r w:rsidRPr="003D537D">
        <w:rPr>
          <w:rFonts w:ascii="Times New Roman" w:hAnsi="Times New Roman"/>
          <w:sz w:val="24"/>
          <w:szCs w:val="24"/>
          <w:lang w:val="kk-KZ" w:eastAsia="en-US"/>
        </w:rPr>
        <w:t>Определить особенности функционированиНациональной валютной системы</w:t>
      </w:r>
    </w:p>
    <w:p w:rsidR="003D537D" w:rsidRPr="003D537D" w:rsidRDefault="003D537D" w:rsidP="003D537D">
      <w:pPr>
        <w:tabs>
          <w:tab w:val="left" w:pos="1276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en-US"/>
        </w:rPr>
      </w:pPr>
      <w:r w:rsidRPr="003D537D">
        <w:rPr>
          <w:rFonts w:ascii="Times New Roman" w:hAnsi="Times New Roman"/>
          <w:b/>
          <w:sz w:val="24"/>
          <w:szCs w:val="24"/>
          <w:lang w:eastAsia="en-US"/>
        </w:rPr>
        <w:t xml:space="preserve">СЗ 7. </w:t>
      </w:r>
      <w:r w:rsidRPr="003D537D">
        <w:rPr>
          <w:rFonts w:ascii="Times New Roman" w:hAnsi="Times New Roman"/>
          <w:sz w:val="24"/>
          <w:szCs w:val="24"/>
          <w:lang w:val="kk-KZ" w:eastAsia="en-US"/>
        </w:rPr>
        <w:t>Анализ структуры биржевого валютного рынка РК.</w:t>
      </w:r>
      <w:r w:rsidRPr="003D537D">
        <w:rPr>
          <w:rFonts w:ascii="Times New Roman" w:hAnsi="Times New Roman"/>
          <w:sz w:val="24"/>
          <w:szCs w:val="24"/>
          <w:lang w:val="kk-KZ" w:eastAsia="en-US"/>
        </w:rPr>
        <w:tab/>
      </w:r>
    </w:p>
    <w:p w:rsidR="003D537D" w:rsidRPr="003D537D" w:rsidRDefault="003D537D" w:rsidP="003D537D">
      <w:pPr>
        <w:tabs>
          <w:tab w:val="left" w:pos="1276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en-US"/>
        </w:rPr>
      </w:pPr>
      <w:r w:rsidRPr="003D537D">
        <w:rPr>
          <w:rFonts w:ascii="Times New Roman" w:hAnsi="Times New Roman"/>
          <w:b/>
          <w:sz w:val="24"/>
          <w:szCs w:val="24"/>
          <w:lang w:eastAsia="en-US"/>
        </w:rPr>
        <w:t xml:space="preserve">СЗ 8. </w:t>
      </w:r>
      <w:r w:rsidRPr="003D537D">
        <w:rPr>
          <w:rFonts w:ascii="Times New Roman" w:hAnsi="Times New Roman"/>
          <w:sz w:val="24"/>
          <w:szCs w:val="24"/>
          <w:lang w:val="kk-KZ" w:eastAsia="en-US"/>
        </w:rPr>
        <w:t>Деятельность обменных пунктов</w:t>
      </w:r>
    </w:p>
    <w:p w:rsidR="003D537D" w:rsidRPr="003D537D" w:rsidRDefault="003D537D" w:rsidP="003D537D">
      <w:pPr>
        <w:tabs>
          <w:tab w:val="left" w:pos="1276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en-US"/>
        </w:rPr>
      </w:pPr>
      <w:r w:rsidRPr="003D537D">
        <w:rPr>
          <w:rFonts w:ascii="Times New Roman" w:hAnsi="Times New Roman"/>
          <w:b/>
          <w:sz w:val="24"/>
          <w:szCs w:val="24"/>
          <w:lang w:eastAsia="en-US"/>
        </w:rPr>
        <w:t xml:space="preserve">СЗ 9,10. </w:t>
      </w:r>
      <w:r w:rsidRPr="003D537D">
        <w:rPr>
          <w:rFonts w:ascii="Times New Roman" w:hAnsi="Times New Roman"/>
          <w:sz w:val="24"/>
          <w:szCs w:val="24"/>
          <w:lang w:val="kk-KZ" w:eastAsia="en-US"/>
        </w:rPr>
        <w:t>Валютное таргетирование</w:t>
      </w:r>
    </w:p>
    <w:p w:rsidR="003D537D" w:rsidRPr="003D537D" w:rsidRDefault="003D537D" w:rsidP="003D537D">
      <w:pPr>
        <w:tabs>
          <w:tab w:val="left" w:pos="1276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СЗ 11,</w:t>
      </w:r>
      <w:r w:rsidRPr="003D537D">
        <w:rPr>
          <w:rFonts w:ascii="Times New Roman" w:hAnsi="Times New Roman"/>
          <w:b/>
          <w:sz w:val="24"/>
          <w:szCs w:val="24"/>
          <w:lang w:eastAsia="en-US"/>
        </w:rPr>
        <w:t xml:space="preserve">12. </w:t>
      </w:r>
      <w:r w:rsidR="004D22A2">
        <w:rPr>
          <w:rFonts w:ascii="Times New Roman" w:hAnsi="Times New Roman"/>
          <w:sz w:val="24"/>
          <w:szCs w:val="24"/>
          <w:lang w:val="kk-KZ" w:eastAsia="en-US"/>
        </w:rPr>
        <w:t>Анализ валютной системы евро</w:t>
      </w:r>
      <w:r w:rsidRPr="003D537D">
        <w:rPr>
          <w:rFonts w:ascii="Times New Roman" w:hAnsi="Times New Roman"/>
          <w:sz w:val="24"/>
          <w:szCs w:val="24"/>
          <w:lang w:val="kk-KZ" w:eastAsia="en-US"/>
        </w:rPr>
        <w:t>зоны. Кризисы на валютных рынках</w:t>
      </w:r>
    </w:p>
    <w:p w:rsidR="003D537D" w:rsidRPr="003D537D" w:rsidRDefault="003D537D" w:rsidP="003D537D">
      <w:pPr>
        <w:tabs>
          <w:tab w:val="left" w:pos="1276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en-US"/>
        </w:rPr>
      </w:pPr>
      <w:r w:rsidRPr="003D537D">
        <w:rPr>
          <w:rFonts w:ascii="Times New Roman" w:hAnsi="Times New Roman"/>
          <w:b/>
          <w:sz w:val="24"/>
          <w:szCs w:val="24"/>
          <w:lang w:eastAsia="en-US"/>
        </w:rPr>
        <w:t xml:space="preserve">СЗ 13. </w:t>
      </w:r>
      <w:r w:rsidRPr="003D537D">
        <w:rPr>
          <w:rFonts w:ascii="Times New Roman" w:hAnsi="Times New Roman"/>
          <w:sz w:val="24"/>
          <w:szCs w:val="24"/>
          <w:lang w:val="kk-KZ" w:eastAsia="en-US"/>
        </w:rPr>
        <w:t>Фундаментальный анализ.</w:t>
      </w:r>
      <w:r w:rsidRPr="003D537D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3D537D">
        <w:rPr>
          <w:rFonts w:ascii="Times New Roman" w:hAnsi="Times New Roman"/>
          <w:sz w:val="24"/>
          <w:szCs w:val="24"/>
          <w:lang w:val="kk-KZ" w:eastAsia="en-US"/>
        </w:rPr>
        <w:t>Технический анализ</w:t>
      </w:r>
    </w:p>
    <w:p w:rsidR="003D537D" w:rsidRPr="003D537D" w:rsidRDefault="003D537D" w:rsidP="003D537D">
      <w:pPr>
        <w:tabs>
          <w:tab w:val="left" w:pos="1276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en-US"/>
        </w:rPr>
      </w:pPr>
      <w:r w:rsidRPr="003D537D">
        <w:rPr>
          <w:rFonts w:ascii="Times New Roman" w:hAnsi="Times New Roman"/>
          <w:b/>
          <w:sz w:val="24"/>
          <w:szCs w:val="24"/>
          <w:lang w:eastAsia="en-US"/>
        </w:rPr>
        <w:t xml:space="preserve">СЗ 14. </w:t>
      </w:r>
      <w:r w:rsidRPr="003D537D">
        <w:rPr>
          <w:rFonts w:ascii="Times New Roman" w:hAnsi="Times New Roman"/>
          <w:sz w:val="24"/>
          <w:szCs w:val="24"/>
          <w:lang w:val="kk-KZ" w:eastAsia="en-US"/>
        </w:rPr>
        <w:t>Фундаментальный анализ.</w:t>
      </w:r>
      <w:r w:rsidRPr="003D537D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3D537D">
        <w:rPr>
          <w:rFonts w:ascii="Times New Roman" w:hAnsi="Times New Roman"/>
          <w:sz w:val="24"/>
          <w:szCs w:val="24"/>
          <w:lang w:val="kk-KZ" w:eastAsia="en-US"/>
        </w:rPr>
        <w:t>Технический анализ</w:t>
      </w:r>
    </w:p>
    <w:p w:rsidR="003D537D" w:rsidRPr="003D537D" w:rsidRDefault="003D537D" w:rsidP="003D537D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  <w:lang w:val="kk-KZ"/>
        </w:rPr>
      </w:pPr>
      <w:r w:rsidRPr="003D537D">
        <w:rPr>
          <w:rFonts w:ascii="Times New Roman" w:hAnsi="Times New Roman"/>
          <w:b/>
          <w:sz w:val="24"/>
          <w:szCs w:val="24"/>
          <w:lang w:eastAsia="en-US"/>
        </w:rPr>
        <w:t xml:space="preserve">СЗ 15. </w:t>
      </w:r>
      <w:r w:rsidRPr="003D537D">
        <w:rPr>
          <w:rFonts w:ascii="Times New Roman" w:hAnsi="Times New Roman"/>
          <w:sz w:val="24"/>
          <w:szCs w:val="24"/>
          <w:lang w:val="kk-KZ" w:eastAsia="en-US"/>
        </w:rPr>
        <w:t>Структура золотовалютных резервов РК. Управление активами НБРК</w:t>
      </w:r>
    </w:p>
    <w:p w:rsidR="00092B8D" w:rsidRPr="00CE5002" w:rsidRDefault="00092B8D" w:rsidP="00E929B5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092B8D" w:rsidRPr="00CE5002" w:rsidSect="002B1B72">
      <w:pgSz w:w="12240" w:h="15840"/>
      <w:pgMar w:top="851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A57E4"/>
    <w:multiLevelType w:val="hybridMultilevel"/>
    <w:tmpl w:val="034E4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01ACC"/>
    <w:multiLevelType w:val="hybridMultilevel"/>
    <w:tmpl w:val="6A26C67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BFF4F42"/>
    <w:multiLevelType w:val="hybridMultilevel"/>
    <w:tmpl w:val="9A0427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E1C4D2A"/>
    <w:multiLevelType w:val="hybridMultilevel"/>
    <w:tmpl w:val="B4E65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A53BB"/>
    <w:multiLevelType w:val="hybridMultilevel"/>
    <w:tmpl w:val="D1B0D68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369C4DA0"/>
    <w:multiLevelType w:val="hybridMultilevel"/>
    <w:tmpl w:val="8490125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87477F4"/>
    <w:multiLevelType w:val="hybridMultilevel"/>
    <w:tmpl w:val="CE3E9514"/>
    <w:lvl w:ilvl="0" w:tplc="547EE3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981411A"/>
    <w:multiLevelType w:val="hybridMultilevel"/>
    <w:tmpl w:val="99EC7A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99B1DFE"/>
    <w:multiLevelType w:val="hybridMultilevel"/>
    <w:tmpl w:val="B67073E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42393F2D"/>
    <w:multiLevelType w:val="hybridMultilevel"/>
    <w:tmpl w:val="B8308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6B550DF"/>
    <w:multiLevelType w:val="hybridMultilevel"/>
    <w:tmpl w:val="1E308C3A"/>
    <w:lvl w:ilvl="0" w:tplc="38A0D12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 w15:restartNumberingAfterBreak="0">
    <w:nsid w:val="4B0A7402"/>
    <w:multiLevelType w:val="hybridMultilevel"/>
    <w:tmpl w:val="689EDF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4BE54699"/>
    <w:multiLevelType w:val="hybridMultilevel"/>
    <w:tmpl w:val="28886C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465669D"/>
    <w:multiLevelType w:val="hybridMultilevel"/>
    <w:tmpl w:val="D494CD76"/>
    <w:lvl w:ilvl="0" w:tplc="38A0D12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536FEB"/>
    <w:multiLevelType w:val="hybridMultilevel"/>
    <w:tmpl w:val="A06AAB2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12"/>
  </w:num>
  <w:num w:numId="3">
    <w:abstractNumId w:val="10"/>
  </w:num>
  <w:num w:numId="4">
    <w:abstractNumId w:val="2"/>
  </w:num>
  <w:num w:numId="5">
    <w:abstractNumId w:val="9"/>
  </w:num>
  <w:num w:numId="6">
    <w:abstractNumId w:val="14"/>
  </w:num>
  <w:num w:numId="7">
    <w:abstractNumId w:val="11"/>
  </w:num>
  <w:num w:numId="8">
    <w:abstractNumId w:val="7"/>
  </w:num>
  <w:num w:numId="9">
    <w:abstractNumId w:val="4"/>
  </w:num>
  <w:num w:numId="10">
    <w:abstractNumId w:val="5"/>
  </w:num>
  <w:num w:numId="11">
    <w:abstractNumId w:val="8"/>
  </w:num>
  <w:num w:numId="12">
    <w:abstractNumId w:val="6"/>
  </w:num>
  <w:num w:numId="13">
    <w:abstractNumId w:val="0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EF2"/>
    <w:rsid w:val="00092B8D"/>
    <w:rsid w:val="00135CA1"/>
    <w:rsid w:val="001C0F9E"/>
    <w:rsid w:val="001C7A8B"/>
    <w:rsid w:val="002A5675"/>
    <w:rsid w:val="002B1B72"/>
    <w:rsid w:val="002B46E3"/>
    <w:rsid w:val="002F5A7C"/>
    <w:rsid w:val="00300AF6"/>
    <w:rsid w:val="00383376"/>
    <w:rsid w:val="003B0F16"/>
    <w:rsid w:val="003D537D"/>
    <w:rsid w:val="003E47C8"/>
    <w:rsid w:val="003F0BEE"/>
    <w:rsid w:val="00400B56"/>
    <w:rsid w:val="00407F42"/>
    <w:rsid w:val="00415165"/>
    <w:rsid w:val="0043529B"/>
    <w:rsid w:val="00460EE9"/>
    <w:rsid w:val="004D22A2"/>
    <w:rsid w:val="00504C4B"/>
    <w:rsid w:val="005224DF"/>
    <w:rsid w:val="005820EC"/>
    <w:rsid w:val="00591F2C"/>
    <w:rsid w:val="005C5ED6"/>
    <w:rsid w:val="005F12D9"/>
    <w:rsid w:val="006162DC"/>
    <w:rsid w:val="006645B5"/>
    <w:rsid w:val="006B404C"/>
    <w:rsid w:val="007361C9"/>
    <w:rsid w:val="00746603"/>
    <w:rsid w:val="0078592B"/>
    <w:rsid w:val="007D77A0"/>
    <w:rsid w:val="007E2A10"/>
    <w:rsid w:val="00837950"/>
    <w:rsid w:val="00843EF2"/>
    <w:rsid w:val="00A41EB1"/>
    <w:rsid w:val="00A468A7"/>
    <w:rsid w:val="00AD2724"/>
    <w:rsid w:val="00B11161"/>
    <w:rsid w:val="00B249D4"/>
    <w:rsid w:val="00B42A6D"/>
    <w:rsid w:val="00BC1517"/>
    <w:rsid w:val="00C338A9"/>
    <w:rsid w:val="00C82EC1"/>
    <w:rsid w:val="00CE5002"/>
    <w:rsid w:val="00E34CE0"/>
    <w:rsid w:val="00E929B5"/>
    <w:rsid w:val="00EC2ADA"/>
    <w:rsid w:val="00F65604"/>
    <w:rsid w:val="00FC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B8811"/>
  <w15:docId w15:val="{9F02423C-20D9-487B-BD4A-CFEF1405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EB1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9D4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B249D4"/>
    <w:pPr>
      <w:spacing w:after="120" w:line="240" w:lineRule="auto"/>
    </w:pPr>
    <w:rPr>
      <w:rFonts w:ascii="Times New Roman" w:eastAsia="Calibri" w:hAnsi="Times New Roman"/>
      <w:sz w:val="20"/>
      <w:szCs w:val="20"/>
      <w:lang w:val="x-none" w:eastAsia="zh-CN"/>
    </w:rPr>
  </w:style>
  <w:style w:type="character" w:customStyle="1" w:styleId="a5">
    <w:name w:val="Основной текст Знак"/>
    <w:basedOn w:val="a0"/>
    <w:link w:val="a4"/>
    <w:uiPriority w:val="99"/>
    <w:rsid w:val="00B249D4"/>
    <w:rPr>
      <w:rFonts w:ascii="Times New Roman" w:eastAsia="Calibri" w:hAnsi="Times New Roman" w:cs="Times New Roman"/>
      <w:sz w:val="20"/>
      <w:szCs w:val="20"/>
      <w:lang w:val="x-none" w:eastAsia="zh-CN"/>
    </w:rPr>
  </w:style>
  <w:style w:type="paragraph" w:styleId="a6">
    <w:name w:val="Body Text Indent"/>
    <w:basedOn w:val="a"/>
    <w:link w:val="a7"/>
    <w:uiPriority w:val="99"/>
    <w:rsid w:val="00B249D4"/>
    <w:pPr>
      <w:spacing w:after="120"/>
      <w:ind w:left="283"/>
    </w:pPr>
    <w:rPr>
      <w:rFonts w:eastAsia="Calibri"/>
      <w:sz w:val="20"/>
      <w:szCs w:val="20"/>
      <w:lang w:val="x-none"/>
    </w:rPr>
  </w:style>
  <w:style w:type="character" w:customStyle="1" w:styleId="a7">
    <w:name w:val="Основной текст с отступом Знак"/>
    <w:basedOn w:val="a0"/>
    <w:link w:val="a6"/>
    <w:uiPriority w:val="99"/>
    <w:rsid w:val="00B249D4"/>
    <w:rPr>
      <w:rFonts w:ascii="Calibri" w:eastAsia="Calibri" w:hAnsi="Calibri" w:cs="Times New Roman"/>
      <w:sz w:val="20"/>
      <w:szCs w:val="20"/>
      <w:lang w:val="x-none" w:eastAsia="ru-RU"/>
    </w:rPr>
  </w:style>
  <w:style w:type="character" w:styleId="a8">
    <w:name w:val="Hyperlink"/>
    <w:basedOn w:val="a0"/>
    <w:uiPriority w:val="99"/>
    <w:unhideWhenUsed/>
    <w:rsid w:val="002B1B72"/>
    <w:rPr>
      <w:color w:val="0000FF" w:themeColor="hyperlink"/>
      <w:u w:val="single"/>
    </w:rPr>
  </w:style>
  <w:style w:type="table" w:styleId="a9">
    <w:name w:val="Table Grid"/>
    <w:basedOn w:val="a1"/>
    <w:uiPriority w:val="39"/>
    <w:rsid w:val="003D5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1228</Words>
  <Characters>7005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Image&amp;Matros ®</cp:lastModifiedBy>
  <cp:revision>71</cp:revision>
  <dcterms:created xsi:type="dcterms:W3CDTF">2014-12-15T07:04:00Z</dcterms:created>
  <dcterms:modified xsi:type="dcterms:W3CDTF">2024-10-12T07:00:00Z</dcterms:modified>
</cp:coreProperties>
</file>